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969" w:hanging="0"/>
        <w:jc w:val="center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262255</wp:posOffset>
            </wp:positionH>
            <wp:positionV relativeFrom="paragraph">
              <wp:posOffset>69850</wp:posOffset>
            </wp:positionV>
            <wp:extent cx="1524000" cy="11430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униципальное общеобразовательное учреждение «Средняя школа с углубленным изучением отдельных предметов «Провинциальный колледж»</w:t>
      </w:r>
    </w:p>
    <w:p>
      <w:pPr>
        <w:pStyle w:val="Normal"/>
        <w:ind w:left="396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96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96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Исследовательское направление – история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Антирелигиозная политика государства в период советской власти в 1917-1922гг.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99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0" w:right="99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505" w:leader="none"/>
          <w:tab w:val="left" w:pos="10206" w:leader="none"/>
        </w:tabs>
        <w:ind w:left="4961" w:right="851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Выполнена ученицей </w:t>
      </w:r>
    </w:p>
    <w:p>
      <w:pPr>
        <w:pStyle w:val="Normal"/>
        <w:tabs>
          <w:tab w:val="left" w:pos="8505" w:leader="none"/>
          <w:tab w:val="left" w:pos="10206" w:leader="none"/>
        </w:tabs>
        <w:ind w:left="4961" w:right="851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 гуманитарного класса Средней школы «Провинциальный колледж»</w:t>
      </w:r>
    </w:p>
    <w:p>
      <w:pPr>
        <w:pStyle w:val="Normal"/>
        <w:tabs>
          <w:tab w:val="left" w:pos="8505" w:leader="none"/>
          <w:tab w:val="left" w:pos="10206" w:leader="none"/>
        </w:tabs>
        <w:ind w:left="4961" w:right="851"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Гузановой Анастасией Евгеньевной</w:t>
      </w:r>
    </w:p>
    <w:p>
      <w:pPr>
        <w:pStyle w:val="Normal"/>
        <w:tabs>
          <w:tab w:val="left" w:pos="8505" w:leader="none"/>
          <w:tab w:val="left" w:pos="10206" w:leader="none"/>
        </w:tabs>
        <w:ind w:left="4961" w:right="85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Научный руководитель –методист Центра дополнительного образования детей «Открытие»</w:t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Средней школы «Провинциальный колледж» </w:t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Федорчук Ирина Алексеевна</w:t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left="4961" w:right="851" w:hanging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right="85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right="85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245" w:leader="none"/>
          <w:tab w:val="left" w:pos="8222" w:leader="none"/>
          <w:tab w:val="left" w:pos="8505" w:leader="none"/>
          <w:tab w:val="left" w:pos="10206" w:leader="none"/>
        </w:tabs>
        <w:ind w:right="851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Ярославль, 2018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</w:rPr>
        <w:t>С установлением Советской власти и диктатуры пролетариата в России, в течение короткого времени коренным образом поменялось отношение власти к религии, а православие превратилось из государственной религии в гонимую веру. Преследование религиозных убеждений со стороны советского государства стало неотъемлемой принадлежностью общественной жизни в России на протяжении нескольких десятилетий.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Начиная с 90-х годов </w:t>
      </w:r>
      <w:r>
        <w:rPr>
          <w:rFonts w:cs="Times New Roman" w:ascii="Times New Roman" w:hAnsi="Times New Roman"/>
          <w:lang w:val="en-US"/>
        </w:rPr>
        <w:t>XX</w:t>
      </w:r>
      <w:r>
        <w:rPr>
          <w:rFonts w:cs="Times New Roman" w:ascii="Times New Roman" w:hAnsi="Times New Roman"/>
        </w:rPr>
        <w:t xml:space="preserve"> века два десятилетия вопросы антирелигиозной политики большевиков изучаются историками очень подробно. Однако, н</w:t>
      </w:r>
      <w:r>
        <w:rPr>
          <w:rFonts w:eastAsia="Times New Roman" w:cs="Times New Roman" w:ascii="Times New Roman" w:hAnsi="Times New Roman"/>
          <w:shd w:fill="FFFFFF" w:val="clear"/>
        </w:rPr>
        <w:t>а наш взгляд, тема работы не относится к числу детально и всесторонне изученных применительно к Ярославскому региону.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Объектом исследования стала антирелигиозная политика советского государства. Предметом исследования - государственные акты и практические мероприятия антирелигиозной политики, проводимой советским правительством в 1917-1922 гг. в стране и местной властью в Ярославской губернии.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Цель – проследить, как антирелигиозная политика советского государства в 1917-1922 гг. осуществлялась в Ярославской губернии. Задачами исследования являются: выявление взглядов лидеров большевиков на роль церкви в государстве и обществе, анализ первых декретов советской власти, касающихся религии, выявление методов антирелигиозной политики в стране и губернии.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Источниками для данной работы послужили статьи большевистских лидеров, государственные акты Советского правительства, стенограммы, резолюции съездов, документы Государственного архива Ярославской области и его филиала Центра документации новейшей истории, средства массовой информации (газеты «Творческие дни» и «Известия Ярославского губисполкома»).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В работе были использованы такие методы, как анализ и обобщение.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Прежде всего, нами были рассмотрены работы В.И. Ленина и его соратников о религии и атеизме, оказавшие огромное влияние на разработку стратегии и тактики Совет</w:t>
        <w:softHyphen/>
        <w:t xml:space="preserve">ского государства в отношении религии и церкви. Изученные нами декреты, стенографические отчеты, резолюции и решения съездов, выступления государственных деятелей помогают проследить формирование антирелигиозной политики государства после Октябрьской революции и утверждения атеистического мировоззрения. Также мы выявили, что методы проведения антирелигиозной политики, мероприятия по атеистическому воспитанию населения в 1917-1922 гг. сводились, главным образом, к проведению различного рода антицерковных кампаний.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</w:rPr>
        <w:t>В рассматриваемый период начинается планомерная работа в сфере проведения советских праздников в противовес церковным. Интересен тот факт, что в первые годы советской власти нерабочими днями считались не только революционные праздники, но и праздники религиозные, что свидетельствовало о понимании большевиками невозможности быстрого перевоспитания населения в атеистическом духе. В соответствии с Кодексом законов о труде (1918г.), в 1920 году в газете «Известия» Ярославского Губернского Исполнительного комитета Советов рабочих, солдатских и крестьянских депутатов было опубликовано постановление Губернского отдела труда и Губернского совета профсоюзов, согласно которому нерабочими днями считались 6 революционных (1 января - Новый год, 22 января – день 9 января 1905 года, 12 марта свержение самодержавия, 19 марта – День парижской коммуны, 1 мая – День Интернационала, 7 ноября – День пролетарской революции)  и 10 церковных праздников (Рождество -2 дня, Крещение -1 день, Благовещение -1 день, Пасха - 3 дня, Духов день - 1 день, Преображение – 1 день, Воздвижение - 1 день), остальные нерабочие дни, ранее считавшиеся праздничными отменялись</w:t>
      </w:r>
      <w:r>
        <w:rPr>
          <w:rStyle w:val="Style16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. Однако большевики имели атеистические взгляды, относились к религии как предрассудку и пережитку прошлого. Поэтому они считали, что религиозные праздники и обряды должны  уйти из жизни населения страны, а на смену им должны прийти празднования с антирелигиозным содержанием.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Одним из таких примеров может служить проведение «Комсомольского Рождества». Сценарий проведения праздников тщательно готовился партийными и комсомольскими работниками. Приведем пример подготовки «Комсомольского Рождества» в Ярославской губернии в 1922 году (само мероприятие было проведено в январе 1923 года)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3"/>
      </w:r>
      <w:r>
        <w:rPr>
          <w:rFonts w:eastAsia="Times New Roman" w:cs="Times New Roman" w:ascii="Times New Roman" w:hAnsi="Times New Roman"/>
          <w:shd w:fill="FFFFFF" w:val="clear"/>
        </w:rPr>
        <w:t>. На совещании, состоявшемся 19 декабря 1922 года, была образована комиссия, которая должна была разработать детальный план праздника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4"/>
      </w:r>
      <w:r>
        <w:rPr>
          <w:rFonts w:eastAsia="Times New Roman" w:cs="Times New Roman" w:ascii="Times New Roman" w:hAnsi="Times New Roman"/>
          <w:shd w:fill="FFFFFF" w:val="clear"/>
        </w:rPr>
        <w:t>. Празднование «Комсомольского Рождества» предполагалось проводить в ночь на 7 января с десяти часов вечера в нескольких помещениях: театре им. Волкова, театре фабрики «Красный Перекоп» и Народном доме им.Карла Либкнехта. В случае если Волковский театр использовать не удастся, то мероприятия переносились в театр студийных постановок и гимназию им. Карла Маркса. Все помещения должны были быть «иллюминированы и декорированы» и снабжены духовыми оркестрами. Программа вечеров представляла собой инсценировки на темы «Поклонения духу», «Поклонения культу природы», «Поклонения Христу», причем перед каждой сценкой лектор должен был сделать доклад по теме. Позднее, 22-23 декабря комиссия остановилась на праздновании Комсомольского Рождества в театре фабрики «Красный Перекоп», Народном доме им. Карла Либкнехта и гимназии им. Карла Маркса с показом спектаклей «Три Христа», «Рождение Будды», «Празднование Рождества у славян и современное Рождество». Разработка театрального представления была поручена Союзу поэтов. Далее празднование включало в себя хоровое отделение, декламацию, бал-маскарад и фейерверк. По окончании праздника комсомольцы, собираясь в группы, должны были расходиться «с фонарями, красными звездами и песнями»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5"/>
      </w:r>
      <w:r>
        <w:rPr>
          <w:rFonts w:eastAsia="Times New Roman" w:cs="Times New Roman" w:ascii="Times New Roman" w:hAnsi="Times New Roman"/>
          <w:shd w:fill="FFFFFF" w:val="clear"/>
        </w:rPr>
        <w:t>. Кроме того, было постановлено прочитать не менее двух лекций (по темам «Возникновение Рождества» и «Рождество во всех религиозных культах»), а в церквях Николы Мокрого, Ильи Пророка и Историческом музее провести экскурсии. В Губкоме комсомола имелись планы и по проведению Комсомольской Пасхи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6"/>
      </w:r>
      <w:r>
        <w:rPr>
          <w:rFonts w:eastAsia="Times New Roman" w:cs="Times New Roman" w:ascii="Times New Roman" w:hAnsi="Times New Roman"/>
          <w:shd w:fill="FFFFFF" w:val="clear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В качестве еще одного примера проведения мероприятий антирелигиозного характера может служить обряд крещения в коммуне «Цивилия» (Глазовский уезд, Вятская губерния), осуществленного в духе нового времени. Газета «Известия Ярославского губисполкома» от восьмого июня 1920 года разместила заметку «Крещение в коммуне», в которой описывается данный обряд. Само мероприятие проходило вечером, после работ в присутствии всех членов коммуны. Старшая коммунарка погрузила младенца три раза в воду, под пение «Интернационала» школьниками-коммунарами. Затем один из коммунаров произнес речь на тему «Вера и Обряды», по окончании которой состоялся ужин с беседами на семейные темы. Торжество закончилось пением «Марсельезы» и других революционных песен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7"/>
      </w:r>
      <w:r>
        <w:rPr>
          <w:rFonts w:eastAsia="Times New Roman" w:cs="Times New Roman" w:ascii="Times New Roman" w:hAnsi="Times New Roman"/>
          <w:shd w:fill="FFFFFF" w:val="clear"/>
        </w:rPr>
        <w:t>. Интересно, что полностью от религиозного обряда крещения коммунарам отойти все же не удалось, о чем свидетельствует троекратное погружение младенца в воду. Именно троекратное окунание крещаемого в воду купели является главным действом всего обряда, так как является символом тех трех дней, в течение которых Иисус Христос находился в гробе, после которых состоялось его Воскресение.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W"/>
          <w:rFonts w:ascii="Times New Roman" w:hAnsi="Times New Roman"/>
        </w:rPr>
        <w:t>В 1918</w:t>
      </w:r>
      <w:r>
        <w:rPr>
          <w:rFonts w:ascii="Times New Roman" w:hAnsi="Times New Roman"/>
        </w:rPr>
        <w:t>-</w:t>
      </w:r>
      <w:r>
        <w:rPr>
          <w:rStyle w:val="W"/>
          <w:rFonts w:ascii="Times New Roman" w:hAnsi="Times New Roman"/>
        </w:rPr>
        <w:t xml:space="preserve">1920 годы центральное место в ряду мероприятий </w:t>
      </w:r>
      <w:r>
        <w:rPr>
          <w:rFonts w:ascii="Times New Roman" w:hAnsi="Times New Roman"/>
        </w:rPr>
        <w:t xml:space="preserve">антирелигиозного </w:t>
      </w:r>
      <w:r>
        <w:rPr>
          <w:rStyle w:val="W"/>
          <w:rFonts w:ascii="Times New Roman" w:hAnsi="Times New Roman"/>
        </w:rPr>
        <w:t>характера заняла развернувшаяся кампания вскрытия мощей святых Русской Церкви. Н</w:t>
      </w:r>
      <w:r>
        <w:rPr>
          <w:rFonts w:ascii="Times New Roman" w:hAnsi="Times New Roman"/>
        </w:rPr>
        <w:t xml:space="preserve">ачало было положено осенью 1918 г. со вскрытия в Олонецкой губернии мощей святого Александра Свирского. Массовый размах кампания приобрела после выхода 16 февраля 1919 года постановления коллегии </w:t>
      </w:r>
      <w:hyperlink r:id="rId3">
        <w:r>
          <w:rPr>
            <w:rStyle w:val="Style14"/>
            <w:rFonts w:ascii="Times New Roman" w:hAnsi="Times New Roman"/>
            <w:color w:val="00000A"/>
            <w:u w:val="none"/>
          </w:rPr>
          <w:t>Наркомата юстиции</w:t>
        </w:r>
      </w:hyperlink>
      <w:r>
        <w:rPr>
          <w:rFonts w:ascii="Times New Roman" w:hAnsi="Times New Roman"/>
        </w:rPr>
        <w:t xml:space="preserve"> об организации вскрытия мощей святых на территории России. В постановлении был определён </w:t>
      </w:r>
      <w:r>
        <w:rPr>
          <w:rFonts w:ascii="Times New Roman" w:hAnsi="Times New Roman"/>
          <w:iCs/>
        </w:rPr>
        <w:t>порядок «инспекции и конфискации» мощей государственными органами</w:t>
      </w:r>
      <w:r>
        <w:rPr>
          <w:rFonts w:ascii="Times New Roman" w:hAnsi="Times New Roman"/>
        </w:rPr>
        <w:t xml:space="preserve">, причем в постановлении </w:t>
      </w:r>
      <w:r>
        <w:rPr>
          <w:rStyle w:val="Content"/>
          <w:rFonts w:ascii="Times New Roman" w:hAnsi="Times New Roman"/>
        </w:rPr>
        <w:t xml:space="preserve">указывалось, что разрешение от центра на вскрытие не требуется, а следует приветствовать инициативу на местах. </w:t>
      </w:r>
      <w:r>
        <w:rPr>
          <w:rFonts w:ascii="Times New Roman" w:hAnsi="Times New Roman"/>
        </w:rPr>
        <w:t>Само вскрытие, снятие с мощей церковных покровов и облачений, должны были производить священнослужители в обязательном присутствии представителей местных органов советской власти, ВЧК и медицинских экспертов. После оформления протокола вскрытия мощей, подписанного священнослужителями и медицинскими экспертами, к осмотру мощей рекомендовалось привлекать «самые широкие массы».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</w:rPr>
        <w:t xml:space="preserve">Кроме того,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>-ой отдел Наркомюста направил на места дополнительное разъяснение о вскрытии мощей. В документе подчеркивалась необходимость вскрытия мощей на месте из нахождения, так как «на поверку мощей вообще не существует», и таким образом вскрывается «многовековой обман служителей культов, а также спекуляция эксплуататорского класса на религиозных чувствах темной и невежественной массы». В письме указывалось, что участие Ярославской ликвидационной комиссии должно было гарантировать соблюдение такта по отношению к религиозным чувствам верующих. Вскрытие мощей должно проходить в свободное от богослужения время и скопления молящихся в церквях. Сам процесс разоблачения вскрытия было бы желательно запечатлеть на кинопленку, если в Ярославле такой возможности нет, необходимо было послать извещение в кинематографический отдел</w:t>
      </w:r>
      <w:r>
        <w:rPr>
          <w:rStyle w:val="Style16"/>
          <w:rFonts w:ascii="Times New Roman" w:hAnsi="Times New Roman"/>
        </w:rPr>
        <w:footnoteReference w:id="8"/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Первое вскрытие мощей почитаемых православной церковью в Ярославской губернии было проведено весной 1919 года. 9 апреля представителями Губисполкома, Ярославского естественно-исторического общества, экспертами был проведен предварительный осмотр останков ярославских князей Федора, Давида и Константина, находящихся в Спасо-Преображенском монастыре, и останков князей Василия и Константина, хранящихся в Успенском кафедральном соборе. Подробному осмотру мощи были подвергнуты 11, 12, 14-го апреля 1919 года. В ходе осмотра комиссия должна была определить пол, возраст, к какой давности относится смерть осматриваемых, состояние и соединение костей, «состояние мумированных клетчаток и чем они мумированы» и др.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9"/>
      </w:r>
      <w:r>
        <w:rPr>
          <w:rFonts w:eastAsia="Times New Roman" w:cs="Times New Roman" w:ascii="Times New Roman" w:hAnsi="Times New Roman"/>
          <w:shd w:fill="FFFFFF" w:val="clear"/>
        </w:rPr>
        <w:t xml:space="preserve"> По результатам осмотра был составлен акт с описанием мощей, в котором, в случае с останками Федора, Давида и Константина, совершенно определенно было отмечено наличие большого количества останков с наличием кожно-мышечных покровов, без следов разложения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10"/>
      </w:r>
      <w:r>
        <w:rPr>
          <w:rFonts w:eastAsia="Times New Roman" w:cs="Times New Roman" w:ascii="Times New Roman" w:hAnsi="Times New Roman"/>
          <w:shd w:fill="FFFFFF" w:val="clear"/>
        </w:rPr>
        <w:t>, что свидетельствовало о том что, никакого обмана народа в данном случае не имело место.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</w:rPr>
        <w:t>В 1920 году были проведены вскрытия мощей преподобных Геннадия Любимского (так в документе) из Спасо-Геннадиева монастыря и Сильвестра Обнорского из храма Воскресения Христова, с. Воскресенского (ныне Любимский район Ярославской области)</w:t>
      </w:r>
      <w:r>
        <w:rPr>
          <w:rStyle w:val="Style16"/>
          <w:rFonts w:ascii="Times New Roman" w:hAnsi="Times New Roman"/>
        </w:rPr>
        <w:footnoteReference w:id="11"/>
      </w:r>
      <w:r>
        <w:rPr>
          <w:rFonts w:ascii="Times New Roman" w:hAnsi="Times New Roman"/>
        </w:rPr>
        <w:t xml:space="preserve">. Вскрытию мощей преподобных предшествовала переписка Любимского уездного исполнительного комитета с Ярославским Губернским епархиальным советом. Епархиальный совет призывал не вскрывать мощи, находящиеся под спудом (то есть </w:t>
      </w:r>
      <w:r>
        <w:rPr>
          <w:rStyle w:val="W"/>
          <w:rFonts w:ascii="Times New Roman" w:hAnsi="Times New Roman"/>
        </w:rPr>
        <w:t>в глухо запечатанных раках</w:t>
      </w:r>
      <w:r>
        <w:rPr>
          <w:rFonts w:ascii="Times New Roman" w:hAnsi="Times New Roman"/>
        </w:rPr>
        <w:t xml:space="preserve">, </w:t>
      </w:r>
      <w:r>
        <w:rPr>
          <w:rStyle w:val="W"/>
          <w:rFonts w:ascii="Times New Roman" w:hAnsi="Times New Roman"/>
        </w:rPr>
        <w:t>когда они не открываются для поклонения</w:t>
      </w:r>
      <w:r>
        <w:rPr>
          <w:rFonts w:ascii="Times New Roman" w:hAnsi="Times New Roman"/>
        </w:rPr>
        <w:t xml:space="preserve">, часто </w:t>
      </w:r>
      <w:r>
        <w:rPr>
          <w:rStyle w:val="W"/>
          <w:rFonts w:ascii="Times New Roman" w:hAnsi="Times New Roman"/>
        </w:rPr>
        <w:t>над мощами</w:t>
      </w:r>
      <w:r>
        <w:rPr>
          <w:rFonts w:ascii="Times New Roman" w:hAnsi="Times New Roman"/>
        </w:rPr>
        <w:t xml:space="preserve"> «</w:t>
      </w:r>
      <w:r>
        <w:rPr>
          <w:rStyle w:val="W"/>
          <w:rFonts w:ascii="Times New Roman" w:hAnsi="Times New Roman"/>
        </w:rPr>
        <w:t>под спудом</w:t>
      </w:r>
      <w:r>
        <w:rPr>
          <w:rFonts w:ascii="Times New Roman" w:hAnsi="Times New Roman"/>
        </w:rPr>
        <w:t xml:space="preserve">» </w:t>
      </w:r>
      <w:r>
        <w:rPr>
          <w:rStyle w:val="W"/>
          <w:rFonts w:ascii="Times New Roman" w:hAnsi="Times New Roman"/>
        </w:rPr>
        <w:t>строились храмы</w:t>
      </w:r>
      <w:r>
        <w:rPr>
          <w:rFonts w:ascii="Times New Roman" w:hAnsi="Times New Roman"/>
        </w:rPr>
        <w:t>.). Любимский же исполком объяснял свои действия не только постановлениями вышестоящих органов, но и пожеланием абсолютного большинства населения уезда вскрыть мощи преподобных для установления истины</w:t>
      </w:r>
      <w:r>
        <w:rPr>
          <w:rStyle w:val="Style16"/>
          <w:rFonts w:ascii="Times New Roman" w:hAnsi="Times New Roman"/>
        </w:rPr>
        <w:footnoteReference w:id="12"/>
      </w:r>
      <w:r>
        <w:rPr>
          <w:rFonts w:ascii="Times New Roman" w:hAnsi="Times New Roman"/>
        </w:rPr>
        <w:t>. Епархиальный совет в своем ответном письме обратил внимание, что даже среди православного населения существует неправильное понимание относительно мощей. Мощи некоторых святых действительно прославлены нетлением, но церковь никогда не считала и не считает нетление мощей непременным признаком святости человека. «Она канонизирует, т.е. причисляет к лику святых за святость жизни, за те высокие нравственные качества, за те христианские добродетели, которые святые проявили в своей жизни, независимо от того, в каком виде находятся их мощи, т.е. останки»</w:t>
      </w:r>
      <w:r>
        <w:rPr>
          <w:rStyle w:val="Style16"/>
          <w:rFonts w:ascii="Times New Roman" w:hAnsi="Times New Roman"/>
        </w:rPr>
        <w:footnoteReference w:id="13"/>
      </w:r>
      <w:r>
        <w:rPr>
          <w:rFonts w:ascii="Times New Roman" w:hAnsi="Times New Roman"/>
        </w:rPr>
        <w:t>. Далее в письме отмечено, что Епархиальный совет не может сказать, в какой степени сохранились мощи преподобных, возможно, что от них остались одни кости и то не все. Однако, «…и эти кости представляют для верующего человека святыню, как останки лиц, угодивших Богу, высокими нравственными качествами и своей жизни дорогих сердцу верующего христианина»</w:t>
      </w:r>
      <w:r>
        <w:rPr>
          <w:rStyle w:val="Style16"/>
          <w:rFonts w:ascii="Times New Roman" w:hAnsi="Times New Roman"/>
        </w:rPr>
        <w:footnoteReference w:id="14"/>
      </w:r>
      <w:r>
        <w:rPr>
          <w:rFonts w:ascii="Times New Roman" w:hAnsi="Times New Roman"/>
        </w:rPr>
        <w:t>. Гробницы преподобных Геннадия Любимского и Сильвестра Обнорского были вскрыты, и действия комиссии заактированы 26 и 28 сентября 1920 года соответственно. В акте отмечено, что перед вскрытием пола была отодвинута серебряная рака, в которой находилась икона преподобного Геннадия. Под деревянным полом был обнаружен кирпичный пол, под ним слой песка и кирпичный свод. Останки находились в склепе под кирпичным сводом. По мнению врача-хирурга Ополовникова возраст «костей» составил не менее 100-150 лет. Кроме того, агрономом Н.Д.Кумошенским и учителем естествознания Л.Г. Киселевым 29 сентября было проведено исследование остатков дерева от гроба, найденного в склепе Спасо-Геннадиева монастыря при вскрытии мощей. Принимая во внимание условия хранения гроба при отсутствии вентиляции воздуха при определенной влажности, эксперты сделали заключение о том, что сосновый гроб находился в склепе не менее 200-250 лет</w:t>
      </w:r>
      <w:r>
        <w:rPr>
          <w:rStyle w:val="Style16"/>
          <w:rFonts w:ascii="Times New Roman" w:hAnsi="Times New Roman"/>
        </w:rPr>
        <w:footnoteReference w:id="15"/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После проведенных мероприятий мощи обоих преподобных были утрачены.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В 1919-1920 годах в Ярославской губернии, кроме мощей князей Федора, Давида и Константина, Василия и Константина Ярославских, Геннадия Любимского, Сильвестра Обнорского, подобные акты были осуществлены по отношению к мощам Исайи Ростовского, Дмитрия Ростовского, Авраамия Ростовского, Игнатия Чудотворца Ростовского, Ефросинии Полоцкой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16"/>
      </w:r>
      <w:r>
        <w:rPr>
          <w:rFonts w:eastAsia="Times New Roman" w:cs="Times New Roman" w:ascii="Times New Roman" w:hAnsi="Times New Roman"/>
          <w:shd w:fill="FFFFFF" w:val="clear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Одновременно со вскрытием мощей начало проводиться изъятие ценного церковного имущества: мощи некоторых святых находились в литых раках из драгоценных металлов. Ярославская губернская чрезвычайная комиссия одной из первых поставила перед Наркомюстом вопрос о дальнейшей судьбе драгоценных рак и находившихся в ней мощей. Коллегия Наркомюста 11 февраля 1919 года приняла постановление, согласно которому предлагалось передавать мощи в местные музеи в отделы церковной старины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17"/>
      </w:r>
      <w:r>
        <w:rPr>
          <w:rFonts w:eastAsia="Times New Roman" w:cs="Times New Roman" w:ascii="Times New Roman" w:hAnsi="Times New Roman"/>
          <w:shd w:fill="FFFFFF" w:val="clear"/>
        </w:rPr>
        <w:t>. Газета Ярославского губисполкома «Творческие дни» публиковала сводку о проведении изъятия ценностей по стране. Так, на 10 апреля в 34-х губерниях было изъято 2 264 пуда 11,5 фунтов серебра, 68 пудов золота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18"/>
      </w:r>
      <w:r>
        <w:rPr>
          <w:rFonts w:eastAsia="Times New Roman" w:cs="Times New Roman" w:ascii="Times New Roman" w:hAnsi="Times New Roman"/>
          <w:shd w:fill="FFFFFF" w:val="clear"/>
        </w:rPr>
        <w:t xml:space="preserve">. В Ярославской губернии кампания продолжалась с марта по июнь 1922 года, в результате которой было изъято (главным образом в самом Ярославле) 1 пуд 2 фунта золота, 722 пуда серебра, 1 322 бриллианта, 15 678 драгоценных камней и вещей. В Рыбинской губернии за май-июнь поступило 5,5 кг золота, 3 255 кг серебра, 2 603 драгоценных камня, 2 681 жемчужное украшение, 2 жемчужные ризы, 13,7 кг весового жемчуга. На проходившей в ноябре 1922 года </w:t>
      </w:r>
      <w:r>
        <w:rPr>
          <w:rFonts w:eastAsia="Times New Roman" w:cs="Times New Roman" w:ascii="Times New Roman" w:hAnsi="Times New Roman"/>
          <w:shd w:fill="FFFFFF" w:val="clear"/>
          <w:lang w:val="en-US"/>
        </w:rPr>
        <w:t xml:space="preserve">XV </w:t>
      </w:r>
      <w:r>
        <w:rPr>
          <w:rFonts w:eastAsia="Times New Roman" w:cs="Times New Roman" w:ascii="Times New Roman" w:hAnsi="Times New Roman"/>
        </w:rPr>
        <w:t>губернской конференции</w:t>
      </w:r>
      <w:r>
        <w:rPr>
          <w:rFonts w:eastAsia="Times New Roman" w:cs="Times New Roman" w:ascii="Times New Roman" w:hAnsi="Times New Roman"/>
          <w:shd w:fill="FFFFFF" w:val="clear"/>
        </w:rPr>
        <w:t xml:space="preserve"> секретарь губкома И.А. Невский так охарактеризовал кампанию по изъятию церковных ценностей в Ярославской губернии: «В нашей губернии эта кампания прошла без скандала самым благородным образом»</w:t>
      </w:r>
      <w:r>
        <w:rPr>
          <w:rStyle w:val="Style16"/>
          <w:rFonts w:eastAsia="Times New Roman" w:cs="Times New Roman" w:ascii="Times New Roman" w:hAnsi="Times New Roman"/>
          <w:shd w:fill="FFFFFF" w:val="clear"/>
        </w:rPr>
        <w:footnoteReference w:id="19"/>
      </w:r>
      <w:r>
        <w:rPr>
          <w:rFonts w:eastAsia="Times New Roman" w:cs="Times New Roman" w:ascii="Times New Roman" w:hAnsi="Times New Roman"/>
          <w:shd w:fill="FFFFFF" w:val="clear"/>
        </w:rPr>
        <w:t xml:space="preserve">. Таким образом, мероприятия по атеистическому воспитанию населения в 1918-1922 гг. сводились  в основном к проведению различного рода антирелигиозных кампаний. Государственная политика в отношении преодоления религиозных предрассудков реализовывалась по следующим </w:t>
      </w:r>
      <w:r>
        <w:rPr>
          <w:rStyle w:val="Razr"/>
          <w:rFonts w:eastAsia="Times New Roman" w:cs="Times New Roman" w:ascii="Times New Roman" w:hAnsi="Times New Roman"/>
          <w:shd w:fill="FFFFFF" w:val="clear"/>
        </w:rPr>
        <w:t>основным направлениям</w:t>
      </w:r>
      <w:r>
        <w:rPr>
          <w:rFonts w:eastAsia="Times New Roman" w:cs="Times New Roman" w:ascii="Times New Roman" w:hAnsi="Times New Roman"/>
          <w:shd w:fill="FFFFFF" w:val="clear"/>
        </w:rPr>
        <w:t xml:space="preserve">: </w:t>
      </w:r>
      <w:r>
        <w:rPr>
          <w:rFonts w:eastAsia="Times New Roman" w:cs="Times New Roman" w:ascii="Times New Roman" w:hAnsi="Times New Roman"/>
          <w:shd w:fill="FFFFFF" w:val="clear"/>
          <w:lang w:eastAsia="ru-RU"/>
        </w:rPr>
        <w:t xml:space="preserve">издания научно-популярных книг, газет, журналов, плакатов. К этому времени начинают складываться такие формы устной пропаганды, как проведение диспутов и лекций на антирелигиозные темы, </w:t>
      </w:r>
      <w:r>
        <w:rPr>
          <w:rFonts w:eastAsia="Times New Roman" w:cs="Times New Roman" w:ascii="Times New Roman" w:hAnsi="Times New Roman"/>
          <w:shd w:fill="FFFFFF" w:val="clear"/>
        </w:rPr>
        <w:t xml:space="preserve">начинается планомерная работа в сфере проведения различных праздников в противовес церковным. Кампании по </w:t>
      </w:r>
      <w:r>
        <w:rPr>
          <w:rFonts w:eastAsia="Times New Roman" w:cs="Times New Roman" w:ascii="Times New Roman" w:hAnsi="Times New Roman"/>
          <w:shd w:fill="FFFFFF" w:val="clear"/>
          <w:lang w:eastAsia="ru-RU"/>
        </w:rPr>
        <w:t>вскрытию мощей и изъятию церковных ценностей в том виде, в котором они проходили, осуществлялись в нарушение принципа отделения церкви от государства, провозглашенного Декретом о свободе совести. Руководство страны не только не предоставило церкви независимости, но, активно вмешивалось во внутреннюю жизнь церкви, осуществляя политику, направленную на подрыв ее материальной базы, ущемляя права верующих, осуществляя репрессии в отношении духовенства.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hd w:fill="FFFFFF" w:val="clear"/>
        </w:rPr>
        <w:t>Таким образом, активное вмешательство во внутреннюю жизнь церкви позволило Советскому государству от осуществления различных антирелигиозных кампаний перейти после 1922 года к планомерному и последовательному вытеснению церкви из всех сфер общественной жизни, сменившемуся в конце 1920-х годов курсом на полную ликвидацию религии в обществе и репрессивным мерам по отношению к духовенству. В Ярославской губернии осуществление антирелигиозной политики проходило по общему плану, включало типичные для всей страны мероприятия и контролировалось властью. Единственным отличием антирелигиозных кампаний в нашей губернии стало то, что здесь не выявлено активного сопротивления населения. Мы можем предположить,  что одной из причин стал печальный опыт других губерний,  о котором сооб</w:t>
      </w:r>
      <w:bookmarkStart w:id="0" w:name="_GoBack"/>
      <w:bookmarkEnd w:id="0"/>
      <w:r>
        <w:rPr>
          <w:rFonts w:ascii="Times New Roman" w:hAnsi="Times New Roman"/>
          <w:shd w:fill="FFFFFF" w:val="clear"/>
        </w:rPr>
        <w:t xml:space="preserve">щали местные газеты. Определенную роль сыграли и события 1918 года, когда самым решительным образом был подавлен антибольшевистский мятеж в городе и тем самым показана решимость новой власти в осуществлении  провозглашенного курса. По материалам газет и архива можно выделить и еще одну причину спокойной реакции населения, например,   на кампанию по вскрытию мощей: население проявляло интерес к самому процессу установления истины, что свидетельствует о слабости веры и о прагматичном подходе части жителей Ярославского края к религиозным святыням.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b/>
          <w:shd w:fill="FFFFFF" w:val="clear"/>
        </w:rPr>
      </w:pPr>
      <w:r>
        <w:rPr>
          <w:rFonts w:ascii="Times New Roman" w:hAnsi="Times New Roman"/>
          <w:b/>
          <w:shd w:fill="FFFFFF" w:val="clear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b/>
          <w:highlight w:val="white"/>
        </w:rPr>
      </w:pPr>
      <w:r>
        <w:rPr>
          <w:rFonts w:ascii="Times New Roman" w:hAnsi="Times New Roman"/>
          <w:b/>
          <w:shd w:fill="FFFFFF" w:val="clear"/>
        </w:rPr>
        <w:t>Список использованных источников и литературы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</w:rPr>
        <w:t xml:space="preserve">Неопубликованные источники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ГАЯО. Ф. Р-238. Оп. 2. Д. 69.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ЦДНИ ГАЯО. Ф. 1. Оп. 27. Д. 82. </w:t>
      </w:r>
    </w:p>
    <w:p>
      <w:pPr>
        <w:pStyle w:val="Footnotetext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ЦДНИ ГАЯО. Ф. 1. Оп. 27. Д. 726. </w:t>
      </w:r>
    </w:p>
    <w:p>
      <w:pPr>
        <w:pStyle w:val="Footnotetext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ЦДНИ ГАЯО. Ф. 1. Оп. 27. Д. 979.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ЦДНИ ГАЯО. Ф. 1. Оп. 27. Д. 980.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ЦДНИ ГАЯО. Ф. 394. Оп. 3. Д. 10.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ЦДНИ ГАЯО. Ф. 496. Оп. 12. Д. 61. 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contextualSpacing/>
        <w:rPr/>
      </w:pPr>
      <w:r>
        <w:rPr>
          <w:rFonts w:cs="Times New Roman" w:ascii="Times New Roman" w:hAnsi="Times New Roman"/>
        </w:rPr>
        <w:t>Опубликованные источники</w:t>
      </w:r>
    </w:p>
    <w:p>
      <w:pPr>
        <w:pStyle w:val="Footnotetext"/>
        <w:numPr>
          <w:ilvl w:val="0"/>
          <w:numId w:val="2"/>
        </w:numPr>
        <w:spacing w:lineRule="auto" w:line="276"/>
        <w:ind w:left="1134" w:hanging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Бонч-Бруевич В. Д. Стоимость культа. Избранные атеистические произведения. М.: Изд-во «Мысль», 1973. </w:t>
      </w:r>
    </w:p>
    <w:p>
      <w:pPr>
        <w:pStyle w:val="Footnotetext"/>
        <w:numPr>
          <w:ilvl w:val="0"/>
          <w:numId w:val="2"/>
        </w:numPr>
        <w:spacing w:lineRule="auto" w:line="276"/>
        <w:ind w:left="1134" w:hanging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Бонч-Бруевич В. Д. Наша церковная политика. Избранные атеистические произведения. М.: Изд-во «Мысль», 1973.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Декреты Советской власти. Т. I. М.:  Гос. изд-во полит. лит-ры, 1957.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Декреты Советской власти. Т. 2. М.: Гос. изд-во полит. лит-ры, </w:t>
      </w:r>
      <w:r>
        <w:rPr>
          <w:rFonts w:cs="Times New Roman" w:ascii="Times New Roman" w:hAnsi="Times New Roman"/>
        </w:rPr>
        <w:t xml:space="preserve">1959.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cs="Times New Roman" w:ascii="Times New Roman" w:hAnsi="Times New Roman"/>
        </w:rPr>
        <w:t xml:space="preserve">КПСС в резолюциях и решениях съездов, конференций и Пленумов ЦК. Т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. М.: </w:t>
      </w:r>
      <w:r>
        <w:rPr>
          <w:rFonts w:eastAsia="Times New Roman" w:cs="Times New Roman" w:ascii="Times New Roman" w:hAnsi="Times New Roman"/>
          <w:lang w:eastAsia="ru-RU"/>
        </w:rPr>
        <w:t xml:space="preserve">Изд-во полит. лит-ры, </w:t>
      </w:r>
      <w:r>
        <w:rPr>
          <w:rFonts w:cs="Times New Roman" w:ascii="Times New Roman" w:hAnsi="Times New Roman"/>
        </w:rPr>
        <w:t xml:space="preserve">1970. </w:t>
      </w:r>
    </w:p>
    <w:p>
      <w:pPr>
        <w:pStyle w:val="Footnotetext"/>
        <w:numPr>
          <w:ilvl w:val="0"/>
          <w:numId w:val="2"/>
        </w:numPr>
        <w:spacing w:lineRule="auto" w:line="276"/>
        <w:ind w:left="1134" w:hanging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Ленин В. И. Речь на 1 Всероссийском съезде работниц 19 ноября 1918 г. Т. 37. М.: Гос. изд-во полит. лит-ры, 1963. </w:t>
      </w:r>
    </w:p>
    <w:p>
      <w:pPr>
        <w:pStyle w:val="Footnotetext"/>
        <w:numPr>
          <w:ilvl w:val="0"/>
          <w:numId w:val="2"/>
        </w:numPr>
        <w:spacing w:lineRule="auto" w:line="276"/>
        <w:ind w:left="1134" w:hanging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Ленин В. И. Социализм и религия. Т. 12. М.: Гос. изд-во полит. лит-ры, 1960. </w:t>
      </w:r>
    </w:p>
    <w:p>
      <w:pPr>
        <w:pStyle w:val="Footnotetext"/>
        <w:numPr>
          <w:ilvl w:val="0"/>
          <w:numId w:val="2"/>
        </w:numPr>
        <w:spacing w:lineRule="auto" w:line="276"/>
        <w:ind w:left="1134" w:hanging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Ленин В. И. Об отношении рабочей партии к религии. Т. 17. М.: Гос. изд-во полит. лит-ры, 1960.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lang w:eastAsia="ru-RU"/>
        </w:rPr>
        <w:t>8 съезд партии РКП (б) (март 1919). Протоколы. М.:  Гос. изд-во полит. лит-ры</w:t>
      </w:r>
      <w:r>
        <w:rPr>
          <w:rFonts w:eastAsia="Times New Roman" w:cs="Times New Roman" w:ascii="Times New Roman" w:hAnsi="Times New Roman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lang w:eastAsia="ru-RU"/>
        </w:rPr>
        <w:t xml:space="preserve">1959.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lang w:eastAsia="ru-RU"/>
        </w:rPr>
        <w:t xml:space="preserve">10 съезд РКП (б) (март 1921). Стенографический отчет. М.: Гос. изд-во полит. лит-ры, 1963.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lang w:eastAsia="ru-RU"/>
        </w:rPr>
        <w:t xml:space="preserve">11 съезд РКП (б) (март-апрель 1922). Стенографический отчет. М.: Гос. изд-во полит. лит-ры,1961.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cs="Times New Roman" w:ascii="Times New Roman" w:hAnsi="Times New Roman"/>
        </w:rPr>
        <w:t xml:space="preserve">Пропаганда и агитация в решениях и документах ВКП (б). Сб-к док-в. М.: Гос. изд-во полит. лит-ры, 1947. </w:t>
      </w:r>
    </w:p>
    <w:p>
      <w:pPr>
        <w:pStyle w:val="Footnotetext"/>
        <w:numPr>
          <w:ilvl w:val="0"/>
          <w:numId w:val="2"/>
        </w:numPr>
        <w:spacing w:lineRule="auto" w:line="276"/>
        <w:ind w:left="1134" w:hanging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Собрание узаконений и распоряжений Рабочего и Крестьянского правительства. М.: Издание Народного комиссариата Юстиции. №. 19. 1922. 7 апреля.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134" w:hanging="425"/>
        <w:contextualSpacing/>
        <w:jc w:val="both"/>
        <w:rPr/>
      </w:pPr>
      <w:r>
        <w:rPr>
          <w:rFonts w:cs="Times New Roman" w:ascii="Times New Roman" w:hAnsi="Times New Roman"/>
        </w:rPr>
        <w:t xml:space="preserve">Собрание узаконений и распоряжений Правительства, издаваемые при правительствующем Сенате. Пг. Сенатская типография, 1917. 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6360" w:leader="none"/>
        </w:tabs>
        <w:spacing w:lineRule="auto" w:line="276" w:before="0" w:after="0"/>
        <w:contextualSpacing/>
        <w:rPr/>
      </w:pPr>
      <w:r>
        <w:rPr>
          <w:rFonts w:cs="Times New Roman" w:ascii="Times New Roman" w:hAnsi="Times New Roman"/>
        </w:rPr>
        <w:t>Периодическая печать</w:t>
        <w:tab/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76" w:before="0" w:after="0"/>
        <w:ind w:left="709" w:hanging="0"/>
        <w:contextualSpacing/>
        <w:rPr/>
      </w:pPr>
      <w:r>
        <w:rPr>
          <w:rFonts w:cs="Times New Roman" w:ascii="Times New Roman" w:hAnsi="Times New Roman"/>
        </w:rPr>
        <w:t xml:space="preserve">Творческие дни. Орган Ярославского губисполкома. 1922. 16 апреля. 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76" w:before="0" w:after="0"/>
        <w:ind w:left="709" w:hanging="0"/>
        <w:contextualSpacing/>
        <w:jc w:val="both"/>
        <w:rPr/>
      </w:pPr>
      <w:r>
        <w:rPr>
          <w:rFonts w:cs="Times New Roman" w:ascii="Times New Roman" w:hAnsi="Times New Roman"/>
        </w:rPr>
        <w:t xml:space="preserve">Известия Ярославского губисполкома. 1920. 8 июня. 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</w:rPr>
        <w:t>Исследовательская литература</w:t>
      </w:r>
    </w:p>
    <w:p>
      <w:pPr>
        <w:pStyle w:val="Footnotetext"/>
        <w:numPr>
          <w:ilvl w:val="0"/>
          <w:numId w:val="4"/>
        </w:numPr>
        <w:spacing w:lineRule="auto" w:line="276"/>
        <w:ind w:left="1134" w:hanging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Анисков В. Т., Хаиров А. Р. Православие на Ярославской земле. От крещения до наших дней. Ярославль, 2007.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Безверхий А. С. Кампания по изъятию церковных ценностей из православных храмов в Семипалатинской губернии//http://vko-eparhia. </w:t>
      </w:r>
      <w:r>
        <w:rPr>
          <w:rFonts w:eastAsia="Times New Roman" w:cs="Times New Roman" w:ascii="Times New Roman" w:hAnsi="Times New Roman"/>
          <w:lang w:val="en-US" w:eastAsia="ru-RU"/>
        </w:rPr>
        <w:t>kz</w:t>
      </w:r>
      <w:r>
        <w:rPr>
          <w:rFonts w:eastAsia="Times New Roman" w:cs="Times New Roman" w:ascii="Times New Roman" w:hAnsi="Times New Roman"/>
          <w:lang w:eastAsia="ru-RU"/>
        </w:rPr>
        <w:t>/</w:t>
      </w:r>
      <w:r>
        <w:rPr>
          <w:rFonts w:eastAsia="Times New Roman" w:cs="Times New Roman" w:ascii="Times New Roman" w:hAnsi="Times New Roman"/>
          <w:lang w:val="en-US" w:eastAsia="ru-RU"/>
        </w:rPr>
        <w:t>eparhiya</w:t>
      </w:r>
      <w:r>
        <w:rPr>
          <w:rFonts w:eastAsia="Times New Roman" w:cs="Times New Roman" w:ascii="Times New Roman" w:hAnsi="Times New Roman"/>
          <w:lang w:eastAsia="ru-RU"/>
        </w:rPr>
        <w:t>/</w:t>
      </w:r>
      <w:r>
        <w:rPr>
          <w:rFonts w:eastAsia="Times New Roman" w:cs="Times New Roman" w:ascii="Times New Roman" w:hAnsi="Times New Roman"/>
          <w:lang w:val="en-US" w:eastAsia="ru-RU"/>
        </w:rPr>
        <w:t>history</w:t>
      </w:r>
      <w:r>
        <w:rPr>
          <w:rFonts w:eastAsia="Times New Roman" w:cs="Times New Roman" w:ascii="Times New Roman" w:hAnsi="Times New Roman"/>
          <w:lang w:eastAsia="ru-RU"/>
        </w:rPr>
        <w:t>/153-</w:t>
      </w:r>
      <w:r>
        <w:rPr>
          <w:rFonts w:eastAsia="Times New Roman" w:cs="Times New Roman" w:ascii="Times New Roman" w:hAnsi="Times New Roman"/>
          <w:lang w:val="en-US" w:eastAsia="ru-RU"/>
        </w:rPr>
        <w:t>the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campaign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to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seize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church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property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from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the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orthodox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churches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in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semipalatinsk</w:t>
      </w:r>
      <w:r>
        <w:rPr>
          <w:rFonts w:eastAsia="Times New Roman" w:cs="Times New Roman" w:ascii="Times New Roman" w:hAnsi="Times New Roman"/>
          <w:lang w:eastAsia="ru-RU"/>
        </w:rPr>
        <w:t>-</w:t>
      </w:r>
      <w:r>
        <w:rPr>
          <w:rFonts w:eastAsia="Times New Roman" w:cs="Times New Roman" w:ascii="Times New Roman" w:hAnsi="Times New Roman"/>
          <w:lang w:val="en-US" w:eastAsia="ru-RU"/>
        </w:rPr>
        <w:t>province</w:t>
      </w:r>
      <w:r>
        <w:rPr>
          <w:rFonts w:eastAsia="Times New Roman" w:cs="Times New Roman" w:ascii="Times New Roman" w:hAnsi="Times New Roman"/>
          <w:lang w:eastAsia="ru-RU"/>
        </w:rPr>
        <w:t>. html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Васильева О. Ю., Кнышевский П. Н. Красные конкистадоры. М.: Соратник, 1994. </w:t>
      </w:r>
    </w:p>
    <w:p>
      <w:pPr>
        <w:pStyle w:val="Footnotetext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Васильева О. Ю. Русская православная церковь и Советская власть в 1917-1927 годах//Вопросы истории. 1993. №8. 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  <w:bCs/>
        </w:rPr>
        <w:t xml:space="preserve">Горшкова С. А. Судьба религиозных праздников в Советской России (1917-1920-е годы). </w:t>
      </w:r>
      <w:hyperlink r:id="rId4">
        <w:r>
          <w:rPr>
            <w:rStyle w:val="Style14"/>
            <w:rFonts w:cs="Times New Roman" w:ascii="Times New Roman" w:hAnsi="Times New Roman"/>
            <w:bCs/>
            <w:color w:val="00000A"/>
          </w:rPr>
          <w:t>http://www. yararchive. ru/publications/details/247/</w:t>
        </w:r>
      </w:hyperlink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Майорова Н. С. Вскрытие мощей Сергия Радонежского и кампания по ликвидации мощей во всероссийском масштабе// http://cyberleninka. </w:t>
      </w:r>
      <w:r>
        <w:rPr>
          <w:rFonts w:cs="Times New Roman" w:ascii="Times New Roman" w:hAnsi="Times New Roman"/>
          <w:lang w:val="en-US"/>
        </w:rPr>
        <w:t>ru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lang w:val="en-US"/>
        </w:rPr>
        <w:t>article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lang w:val="en-US"/>
        </w:rPr>
        <w:t>n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lang w:val="en-US"/>
        </w:rPr>
        <w:t>vskrytie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moschey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sergiya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radonezhskogo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kampaniya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po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likvidatsii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moschey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vo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vserossiyskom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masshtabe</w:t>
      </w:r>
    </w:p>
    <w:p>
      <w:pPr>
        <w:pStyle w:val="Footnotetext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>
          <w:sz w:val="24"/>
          <w:szCs w:val="24"/>
        </w:rPr>
      </w:pPr>
      <w:r>
        <w:rPr>
          <w:rStyle w:val="Style14"/>
          <w:rFonts w:cs="Times New Roman" w:ascii="Times New Roman" w:hAnsi="Times New Roman"/>
          <w:color w:val="00000A"/>
          <w:sz w:val="24"/>
          <w:szCs w:val="24"/>
          <w:u w:val="none"/>
        </w:rPr>
        <w:t>Малашенко А. В.</w:t>
      </w:r>
      <w:r>
        <w:rPr>
          <w:rStyle w:val="Style14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Referencetext"/>
          <w:rFonts w:cs="Times New Roman" w:ascii="Times New Roman" w:hAnsi="Times New Roman"/>
          <w:iCs/>
          <w:sz w:val="24"/>
          <w:szCs w:val="24"/>
        </w:rPr>
        <w:t>Ислам для России</w:t>
      </w:r>
      <w:r>
        <w:rPr>
          <w:rStyle w:val="Referencetext"/>
          <w:rFonts w:cs="Times New Roman" w:ascii="Times New Roman" w:hAnsi="Times New Roman"/>
          <w:sz w:val="24"/>
          <w:szCs w:val="24"/>
        </w:rPr>
        <w:t xml:space="preserve">. М.: </w:t>
      </w:r>
      <w:r>
        <w:rPr>
          <w:rStyle w:val="Style14"/>
          <w:rFonts w:cs="Times New Roman" w:ascii="Times New Roman" w:hAnsi="Times New Roman"/>
          <w:color w:val="00000A"/>
          <w:sz w:val="24"/>
          <w:szCs w:val="24"/>
          <w:u w:val="none"/>
        </w:rPr>
        <w:t>РОССПЭН</w:t>
      </w:r>
      <w:r>
        <w:rPr>
          <w:rStyle w:val="Referencetext"/>
          <w:rFonts w:cs="Times New Roman" w:ascii="Times New Roman" w:hAnsi="Times New Roman"/>
          <w:sz w:val="24"/>
          <w:szCs w:val="24"/>
        </w:rPr>
        <w:t xml:space="preserve">, 2007. 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Марасанова В. М. Власть и церковь в 1920 – 1930 – е годы (по материалам Центра документации новейшей истории Ярославской области)// Роль Русской Православной Церкви в становлении и развитии российской государственности. Материалы всероссийской научно – практической конференции 20 ноября 2014 года, г. Ярославль. Ярославль, 2015.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Понкин И. В. Столетие французского закона о разделении церквей и государства. М.: Уч. - науч. центр довуз. Образования, 2005.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Регельсон Л. Л. Трагедия Русской церкви. М.: Крутицкое Патриаршее Подворье, 2007.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Ульянова С. Б. Религиозные праздники в Советском городе в 1920-е годы //Роль Русской Православной Церкви в становлении и развитии российской государственности. Материалы всероссийской научно – практической конференции 20 ноября 2014 года, г. Ярославль. Ярославль, 2015.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134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Шкаровский М. В. Русская Православная Церковь при Сталине и Хрущеве. М.: Крутицкое Патриаршие Подворье, 2000. 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Footnotereference"/>
          <w:rFonts w:ascii="Times New Roman" w:hAnsi="Times New Roman"/>
          <w:sz w:val="20"/>
          <w:szCs w:val="20"/>
        </w:rPr>
        <w:footnoteRef/>
        <w:tab/>
        <w:t xml:space="preserve"> </w:t>
      </w:r>
      <w:r>
        <w:rPr>
          <w:rFonts w:cs="Times New Roman" w:ascii="Times New Roman" w:hAnsi="Times New Roman"/>
          <w:bCs/>
          <w:sz w:val="20"/>
          <w:szCs w:val="20"/>
        </w:rPr>
        <w:t>Горшкова С.А. Судьба религиозных праздников в Советской России (1917-1920-е годы). http://www.yararchive.ru/publications/details/247/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ЦДНИ ГАЯО. Ф. 496. Оп. 12. Д. 61. С 124.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ЦДНИ ГАЯО. Ф. 1. Оп. 27. Д. 979. С 107.</w:t>
      </w:r>
    </w:p>
  </w:footnote>
  <w:footnote w:id="5">
    <w:p>
      <w:pPr>
        <w:pStyle w:val="Footnotetext"/>
        <w:rPr/>
      </w:pPr>
      <w:r>
        <w:rPr>
          <w:rStyle w:val="Footnotereference"/>
          <w:rFonts w:ascii="Times New Roman" w:hAnsi="Times New Roman"/>
          <w:szCs w:val="20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ЦДНИ ГАЯО. Ф. 1. Оп. 27. Д. 979. С 108, 112, 113.</w:t>
      </w:r>
    </w:p>
  </w:footnote>
  <w:footnote w:id="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24"/>
          <w:szCs w:val="24"/>
        </w:rPr>
        <w:footnoteRef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Cs w:val="20"/>
        </w:rPr>
        <w:t>Там же. Д. 980. Л. 7.</w:t>
      </w:r>
    </w:p>
  </w:footnote>
  <w:footnote w:id="7">
    <w:p>
      <w:pPr>
        <w:pStyle w:val="Footnotetext"/>
        <w:rPr/>
      </w:pPr>
      <w:r>
        <w:rPr>
          <w:rStyle w:val="Footnotereference"/>
          <w:rFonts w:ascii="Times New Roman" w:hAnsi="Times New Roman"/>
          <w:szCs w:val="20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Известия Ярославского губисполкома.1920.18 июня.</w:t>
      </w:r>
    </w:p>
  </w:footnote>
  <w:footnote w:id="8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Cs w:val="20"/>
        </w:rPr>
        <w:footnoteRef/>
        <w:tab/>
      </w:r>
      <w:r>
        <w:rPr>
          <w:rFonts w:cs="Times New Roman" w:ascii="Times New Roman" w:hAnsi="Times New Roman"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ЦДНИ ГАЯО. Ф. 1. Оп. 27. Д. 82. Л. 41.</w:t>
      </w:r>
    </w:p>
  </w:footnote>
  <w:footnote w:id="9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24"/>
          <w:szCs w:val="24"/>
        </w:rPr>
        <w:footnoteRef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Cs w:val="20"/>
        </w:rPr>
        <w:t>ГАЯО. Ф. Р-238. Оп. 2. Д. 69. Л. 5.</w:t>
      </w:r>
    </w:p>
  </w:footnote>
  <w:footnote w:id="10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Cs w:val="20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ГАЯО. Ф. Р-238. Оп. 2. Д. 69. Л. 6-8.</w:t>
      </w:r>
    </w:p>
  </w:footnote>
  <w:footnote w:id="11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Cs w:val="20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ЦДНИ ГАЯО. Ф. 394. Оп. 3. Д. 10. Л. 104, 106-107.</w:t>
      </w:r>
    </w:p>
  </w:footnote>
  <w:footnote w:id="1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24"/>
          <w:szCs w:val="24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Там же. Л. 101.</w:t>
      </w:r>
    </w:p>
  </w:footnote>
  <w:footnote w:id="13">
    <w:p>
      <w:pPr>
        <w:pStyle w:val="Footnotetext"/>
        <w:rPr/>
      </w:pPr>
      <w:r>
        <w:rPr>
          <w:rStyle w:val="Footnotereference"/>
          <w:szCs w:val="20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Там же. Л. 103.</w:t>
      </w:r>
    </w:p>
  </w:footnote>
  <w:footnote w:id="14">
    <w:p>
      <w:pPr>
        <w:pStyle w:val="Footnotetext"/>
        <w:rPr/>
      </w:pPr>
      <w:r>
        <w:rPr>
          <w:rStyle w:val="Footnotereference"/>
          <w:szCs w:val="20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ЦДНИ ГАЯО. Ф. 394. Оп. 3. Д. 10. Л. 103.</w:t>
      </w:r>
    </w:p>
  </w:footnote>
  <w:footnote w:id="15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Fonts w:ascii="Times New Roman" w:hAnsi="Times New Roman"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ЦДНИ ГАЯО. Ф. 394. Оп. 3. Д. 10. Л. 106-107.</w:t>
      </w:r>
    </w:p>
  </w:footnote>
  <w:footnote w:id="16">
    <w:p>
      <w:pPr>
        <w:pStyle w:val="Normal"/>
        <w:rPr/>
      </w:pPr>
      <w:r>
        <w:rPr>
          <w:rStyle w:val="Footnotereference"/>
        </w:rPr>
        <w:footnoteRef/>
        <w:tab/>
      </w:r>
      <w:r>
        <w:rPr>
          <w:rFonts w:cs="Times New Roman" w:ascii="Times New Roman" w:hAnsi="Times New Roman"/>
          <w:sz w:val="20"/>
          <w:szCs w:val="20"/>
        </w:rPr>
        <w:t>Майорова Н.С. Вскрытие мощей Сергия Радонежского и кампания по ликвидации мощей во всероссийском масштабе// http://cyberleninka.ru/article/n/vskrytie-moschey-sergiya-radonezhskogo-i-kampaniya-po-likvidatsii-moschey-vo-vserossiyskom-masshtabe</w:t>
      </w:r>
    </w:p>
  </w:footnote>
  <w:footnote w:id="17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24"/>
          <w:szCs w:val="24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Майорова Н.С. Указ. Соч.</w:t>
      </w:r>
    </w:p>
  </w:footnote>
  <w:footnote w:id="18">
    <w:p>
      <w:pPr>
        <w:pStyle w:val="Footnotetext"/>
        <w:rPr/>
      </w:pPr>
      <w:r>
        <w:rPr>
          <w:rStyle w:val="Footnotereference"/>
        </w:rPr>
        <w:footnoteRef/>
        <w:tab/>
        <w:t xml:space="preserve"> </w:t>
      </w:r>
      <w:r>
        <w:rPr>
          <w:rFonts w:cs="Times New Roman" w:ascii="Times New Roman" w:hAnsi="Times New Roman"/>
          <w:szCs w:val="20"/>
        </w:rPr>
        <w:t>Творческие дни. Орган ярославского губисполкома. 1922. 16 апреля.</w:t>
      </w:r>
    </w:p>
  </w:footnote>
  <w:footnote w:id="19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24"/>
          <w:szCs w:val="24"/>
        </w:rPr>
        <w:footnoteRef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Cs w:val="20"/>
        </w:rPr>
        <w:t>ЦДНИ ГАЯО. Ф. 1. Оп. 27. Д. 726. Л. 21.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" w:customStyle="1">
    <w:name w:val="w"/>
    <w:basedOn w:val="DefaultParagraphFont"/>
    <w:qFormat/>
    <w:rPr/>
  </w:style>
  <w:style w:type="character" w:styleId="Style14" w:customStyle="1">
    <w:name w:val="Интернет-ссылка"/>
    <w:basedOn w:val="DefaultParagraphFont"/>
    <w:rPr>
      <w:color w:val="0000FF"/>
      <w:u w:val="single"/>
    </w:rPr>
  </w:style>
  <w:style w:type="character" w:styleId="Content" w:customStyle="1">
    <w:name w:val="content"/>
    <w:basedOn w:val="DefaultParagraph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5" w:customStyle="1">
    <w:name w:val="Символ сноски"/>
    <w:qFormat/>
    <w:rPr/>
  </w:style>
  <w:style w:type="character" w:styleId="Style16" w:customStyle="1">
    <w:name w:val="Привязка сноски"/>
    <w:rPr>
      <w:vertAlign w:val="superscript"/>
    </w:rPr>
  </w:style>
  <w:style w:type="character" w:styleId="Razr" w:customStyle="1">
    <w:name w:val="razr"/>
    <w:basedOn w:val="DefaultParagraphFont"/>
    <w:qFormat/>
    <w:rPr/>
  </w:style>
  <w:style w:type="character" w:styleId="Style17" w:customStyle="1">
    <w:name w:val="Привязка концевой сноски"/>
    <w:rPr>
      <w:vertAlign w:val="superscript"/>
    </w:rPr>
  </w:style>
  <w:style w:type="character" w:styleId="Style18" w:customStyle="1">
    <w:name w:val="Символы концевой сноски"/>
    <w:qFormat/>
    <w:rPr/>
  </w:style>
  <w:style w:type="character" w:styleId="Referencetext" w:customStyle="1">
    <w:name w:val="reference-text"/>
    <w:basedOn w:val="DefaultParagraphFont"/>
    <w:qFormat/>
    <w:rsid w:val="005d08dd"/>
    <w:rPr/>
  </w:style>
  <w:style w:type="character" w:styleId="ListLabel1">
    <w:name w:val="ListLabel 1"/>
    <w:qFormat/>
    <w:rPr>
      <w:rFonts w:cs="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b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b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Footnotetext">
    <w:name w:val="footnote text"/>
    <w:basedOn w:val="Normal"/>
    <w:qFormat/>
    <w:pPr/>
    <w:rPr>
      <w:rFonts w:cs="Mangal"/>
      <w:sz w:val="20"/>
      <w:szCs w:val="18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rsid w:val="005d08dd"/>
    <w:pPr>
      <w:spacing w:lineRule="auto" w:line="259" w:before="0" w:after="160"/>
      <w:ind w:left="720" w:hanging="0"/>
      <w:contextualSpacing/>
    </w:pPr>
    <w:rPr>
      <w:rFonts w:eastAsia="Calibri" w:eastAsiaTheme="minorHAnsi"/>
      <w:color w:val="00000A"/>
      <w:lang w:eastAsia="en-US"/>
    </w:rPr>
  </w:style>
  <w:style w:type="paragraph" w:styleId="Style26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u.wikipedia.org/wiki/&#1053;&#1072;&#1088;&#1086;&#1076;&#1085;&#1099;&#1081;_&#1082;&#1086;&#1084;&#1080;&#1089;&#1089;&#1072;&#1088;&#1080;&#1072;&#1090;_&#1102;&#1089;&#1090;&#1080;&#1094;&#1080;&#1080;" TargetMode="External"/><Relationship Id="rId4" Type="http://schemas.openxmlformats.org/officeDocument/2006/relationships/hyperlink" Target="http://www.yararchive.ru/publications/details/247/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LibreOffice/5.3.4.2$Windows_X86_64 LibreOffice_project/f82d347ccc0be322489bf7da61d7e4ad13fe2ff3</Application>
  <Pages>10</Pages>
  <Words>2895</Words>
  <Characters>19081</Characters>
  <CharactersWithSpaces>21919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2018-01-31T21:20:00Z</dcterms:created>
  <dc:creator/>
  <dc:description/>
  <dc:language>ru-RU</dc:language>
  <cp:lastModifiedBy/>
  <dcterms:modified xsi:type="dcterms:W3CDTF">2018-02-14T18:45:02Z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